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:</w:t>
      </w:r>
    </w:p>
    <w:p w:rsidR="00546942" w:rsidRDefault="0054694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CONVENIO DE CONFIDENCIALIDAD</w:t>
      </w:r>
    </w:p>
    <w:p w:rsidR="00546942" w:rsidRDefault="00546942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32"/>
          <w:szCs w:val="32"/>
        </w:rPr>
      </w:pPr>
    </w:p>
    <w:p w:rsidR="00546942" w:rsidRDefault="00546942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sz w:val="24"/>
          <w:szCs w:val="24"/>
        </w:rPr>
      </w:pPr>
    </w:p>
    <w:p w:rsidR="00546942" w:rsidRDefault="000169F9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</w:pPr>
      <w:r w:rsidRPr="000169F9">
        <w:rPr>
          <w:rFonts w:ascii="Tahoma" w:eastAsia="Tahoma" w:hAnsi="Tahoma" w:cs="Tahoma"/>
          <w:sz w:val="24"/>
          <w:szCs w:val="24"/>
          <w:u w:val="single"/>
        </w:rPr>
        <w:t>NOMBRE XXX</w:t>
      </w:r>
      <w:r w:rsidR="00816AC1">
        <w:rPr>
          <w:rFonts w:ascii="Tahoma" w:eastAsia="Tahoma" w:hAnsi="Tahoma" w:cs="Tahoma"/>
          <w:sz w:val="24"/>
          <w:szCs w:val="24"/>
        </w:rPr>
        <w:t>, D</w:t>
      </w:r>
      <w:r w:rsidR="00816AC1">
        <w:rPr>
          <w:rFonts w:ascii="Tahoma" w:eastAsia="Tahoma" w:hAnsi="Tahoma" w:cs="Tahoma"/>
          <w:color w:val="000000"/>
          <w:sz w:val="24"/>
          <w:szCs w:val="24"/>
        </w:rPr>
        <w:t xml:space="preserve">NI </w:t>
      </w:r>
      <w:proofErr w:type="spellStart"/>
      <w:r w:rsidR="00816AC1">
        <w:rPr>
          <w:rFonts w:ascii="Tahoma" w:eastAsia="Tahoma" w:hAnsi="Tahoma" w:cs="Tahoma"/>
          <w:color w:val="000000"/>
          <w:sz w:val="24"/>
          <w:szCs w:val="24"/>
        </w:rPr>
        <w:t>N°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0169F9">
        <w:rPr>
          <w:rFonts w:ascii="Tahoma" w:eastAsia="Tahoma" w:hAnsi="Tahoma" w:cs="Tahoma"/>
          <w:color w:val="000000"/>
          <w:sz w:val="24"/>
          <w:szCs w:val="24"/>
          <w:u w:val="single"/>
        </w:rPr>
        <w:t>XXX</w:t>
      </w:r>
      <w:r w:rsidR="00816AC1">
        <w:rPr>
          <w:rFonts w:ascii="Tahoma" w:eastAsia="Tahoma" w:hAnsi="Tahoma" w:cs="Tahoma"/>
          <w:color w:val="000000"/>
          <w:sz w:val="24"/>
          <w:szCs w:val="24"/>
        </w:rPr>
        <w:t xml:space="preserve">, quien se desempeña en el cargo </w:t>
      </w:r>
      <w:r w:rsidRPr="000169F9">
        <w:rPr>
          <w:rFonts w:ascii="Tahoma" w:eastAsia="Tahoma" w:hAnsi="Tahoma" w:cs="Tahoma"/>
          <w:color w:val="000000"/>
          <w:sz w:val="24"/>
          <w:szCs w:val="24"/>
          <w:u w:val="single"/>
        </w:rPr>
        <w:t>XXX</w:t>
      </w:r>
      <w:r w:rsidR="00816AC1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 la</w:t>
      </w:r>
      <w:r w:rsidR="00816AC1">
        <w:rPr>
          <w:rFonts w:ascii="Tahoma" w:eastAsia="Tahoma" w:hAnsi="Tahoma" w:cs="Tahoma"/>
          <w:sz w:val="24"/>
          <w:szCs w:val="24"/>
        </w:rPr>
        <w:t xml:space="preserve"> </w:t>
      </w:r>
      <w:r w:rsidRPr="000169F9">
        <w:rPr>
          <w:rFonts w:ascii="Tahoma" w:eastAsia="Tahoma" w:hAnsi="Tahoma" w:cs="Tahoma"/>
          <w:sz w:val="24"/>
          <w:szCs w:val="24"/>
          <w:u w:val="single"/>
        </w:rPr>
        <w:t>X</w:t>
      </w:r>
      <w:r w:rsidR="00816AC1">
        <w:rPr>
          <w:rFonts w:ascii="Tahoma" w:eastAsia="Tahoma" w:hAnsi="Tahoma" w:cs="Tahoma"/>
          <w:sz w:val="24"/>
          <w:szCs w:val="24"/>
        </w:rPr>
        <w:t xml:space="preserve"> Circunscripción Judicial del Poder Judicial de Misiones</w:t>
      </w:r>
      <w:r w:rsidR="00816AC1">
        <w:rPr>
          <w:rFonts w:ascii="Tahoma" w:eastAsia="Tahoma" w:hAnsi="Tahoma" w:cs="Tahoma"/>
          <w:color w:val="000000"/>
          <w:sz w:val="24"/>
          <w:szCs w:val="24"/>
        </w:rPr>
        <w:t>, manifiesta su firme compromiso de dar estricto cumplimiento con el “deber de confidenciali</w:t>
      </w:r>
      <w:r w:rsidR="00816AC1">
        <w:rPr>
          <w:rFonts w:ascii="Tahoma" w:eastAsia="Tahoma" w:hAnsi="Tahoma" w:cs="Tahoma"/>
          <w:color w:val="000000"/>
          <w:sz w:val="24"/>
          <w:szCs w:val="24"/>
        </w:rPr>
        <w:t>dad” que imponen el art. 10 de la Ley de Protección de Datos Personales 25.326 así como los “principios” consagrados en dicha norma.</w:t>
      </w:r>
    </w:p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</w:pPr>
      <w:r>
        <w:rPr>
          <w:rFonts w:ascii="Tahoma" w:eastAsia="Tahoma" w:hAnsi="Tahoma" w:cs="Tahoma"/>
          <w:color w:val="000000"/>
          <w:sz w:val="24"/>
          <w:szCs w:val="24"/>
        </w:rPr>
        <w:t>Este deber se extiende al resguardo de los Datos Personales a los que pudiera acceder, así como a toda actividad que en eje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rcicio de cualquier tarea o función lleve a cabo bajo la relación y dependencia del </w:t>
      </w:r>
      <w:r>
        <w:rPr>
          <w:rFonts w:ascii="Tahoma" w:eastAsia="Tahoma" w:hAnsi="Tahoma" w:cs="Tahoma"/>
          <w:sz w:val="24"/>
          <w:szCs w:val="24"/>
        </w:rPr>
        <w:t>Poder Judicial de la Provincia de Misiones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</w:pPr>
      <w:r>
        <w:rPr>
          <w:rFonts w:ascii="Tahoma" w:eastAsia="Tahoma" w:hAnsi="Tahoma" w:cs="Tahoma"/>
          <w:color w:val="000000"/>
          <w:sz w:val="24"/>
          <w:szCs w:val="24"/>
        </w:rPr>
        <w:t>La obligación de confidencialidad se basa en las disposiciones normativas establecida por la referida Ley No 25.326, así como en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preceptos éticos de los que se tiene plena convicción.</w:t>
      </w:r>
    </w:p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</w:pPr>
      <w:r>
        <w:rPr>
          <w:rFonts w:ascii="Tahoma" w:eastAsia="Tahoma" w:hAnsi="Tahoma" w:cs="Tahoma"/>
          <w:color w:val="000000"/>
          <w:sz w:val="24"/>
          <w:szCs w:val="24"/>
        </w:rPr>
        <w:t>El deber de secreto sólo podrá ser relevado por resolución judicial.</w:t>
      </w:r>
    </w:p>
    <w:p w:rsidR="00546942" w:rsidRDefault="00816AC1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24"/>
          <w:szCs w:val="24"/>
        </w:rPr>
        <w:t xml:space="preserve">En prueba de conformidad y pleno consentimiento se firma el presente en la Ciudad de </w:t>
      </w:r>
      <w:r w:rsidR="000169F9" w:rsidRPr="000169F9">
        <w:rPr>
          <w:rFonts w:ascii="Tahoma" w:eastAsia="Tahoma" w:hAnsi="Tahoma" w:cs="Tahoma"/>
          <w:color w:val="000000"/>
          <w:sz w:val="24"/>
          <w:szCs w:val="24"/>
          <w:u w:val="single"/>
        </w:rPr>
        <w:t>XX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0169F9">
        <w:rPr>
          <w:rFonts w:ascii="Tahoma" w:eastAsia="Tahoma" w:hAnsi="Tahoma" w:cs="Tahoma"/>
          <w:color w:val="000000"/>
          <w:sz w:val="24"/>
          <w:szCs w:val="24"/>
        </w:rPr>
        <w:t>Misiones 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los </w:t>
      </w:r>
      <w:r w:rsidR="000169F9" w:rsidRPr="000169F9">
        <w:rPr>
          <w:rFonts w:ascii="Tahoma" w:eastAsia="Tahoma" w:hAnsi="Tahoma" w:cs="Tahoma"/>
          <w:sz w:val="24"/>
          <w:szCs w:val="24"/>
          <w:u w:val="single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días del mes de </w:t>
      </w:r>
      <w:r w:rsidR="000169F9" w:rsidRPr="000169F9">
        <w:rPr>
          <w:rFonts w:ascii="Tahoma" w:eastAsia="Tahoma" w:hAnsi="Tahoma" w:cs="Tahoma"/>
          <w:sz w:val="24"/>
          <w:szCs w:val="24"/>
          <w:u w:val="single"/>
        </w:rPr>
        <w:t>X</w:t>
      </w:r>
      <w:bookmarkStart w:id="1" w:name="_GoBack"/>
      <w:bookmarkEnd w:id="1"/>
      <w:r>
        <w:rPr>
          <w:rFonts w:ascii="Tahoma" w:eastAsia="Tahoma" w:hAnsi="Tahoma" w:cs="Tahoma"/>
          <w:color w:val="000000"/>
          <w:sz w:val="24"/>
          <w:szCs w:val="24"/>
        </w:rPr>
        <w:t xml:space="preserve"> de 20</w:t>
      </w:r>
      <w:r>
        <w:rPr>
          <w:rFonts w:ascii="Tahoma" w:eastAsia="Tahoma" w:hAnsi="Tahoma" w:cs="Tahoma"/>
          <w:sz w:val="24"/>
          <w:szCs w:val="24"/>
        </w:rPr>
        <w:t>2</w:t>
      </w:r>
      <w:r w:rsidR="000169F9">
        <w:rPr>
          <w:rFonts w:ascii="Tahoma" w:eastAsia="Tahoma" w:hAnsi="Tahoma" w:cs="Tahoma"/>
          <w:sz w:val="24"/>
          <w:szCs w:val="24"/>
        </w:rPr>
        <w:t>2</w:t>
      </w:r>
    </w:p>
    <w:sectPr w:rsidR="0054694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C1" w:rsidRDefault="00816AC1">
      <w:pPr>
        <w:spacing w:line="240" w:lineRule="auto"/>
      </w:pPr>
      <w:r>
        <w:separator/>
      </w:r>
    </w:p>
  </w:endnote>
  <w:endnote w:type="continuationSeparator" w:id="0">
    <w:p w:rsidR="00816AC1" w:rsidRDefault="00816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C1" w:rsidRDefault="00816AC1">
      <w:pPr>
        <w:spacing w:line="240" w:lineRule="auto"/>
      </w:pPr>
      <w:r>
        <w:separator/>
      </w:r>
    </w:p>
  </w:footnote>
  <w:footnote w:type="continuationSeparator" w:id="0">
    <w:p w:rsidR="00816AC1" w:rsidRDefault="00816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42" w:rsidRDefault="00816A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5172075</wp:posOffset>
          </wp:positionH>
          <wp:positionV relativeFrom="paragraph">
            <wp:posOffset>133350</wp:posOffset>
          </wp:positionV>
          <wp:extent cx="771525" cy="7715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1206500" cy="723900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42"/>
    <w:rsid w:val="000169F9"/>
    <w:rsid w:val="00546942"/>
    <w:rsid w:val="008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A8FE"/>
  <w15:docId w15:val="{18786B9E-18B2-4E22-9DCA-3D1E552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25A"/>
  </w:style>
  <w:style w:type="paragraph" w:styleId="Ttulo1">
    <w:name w:val="heading 1"/>
    <w:basedOn w:val="Normal"/>
    <w:next w:val="Normal"/>
    <w:uiPriority w:val="9"/>
    <w:qFormat/>
    <w:rsid w:val="00EA6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6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6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6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62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6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62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6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E298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98B"/>
  </w:style>
  <w:style w:type="paragraph" w:styleId="Piedepgina">
    <w:name w:val="footer"/>
    <w:basedOn w:val="Normal"/>
    <w:link w:val="PiedepginaCar"/>
    <w:uiPriority w:val="99"/>
    <w:unhideWhenUsed/>
    <w:rsid w:val="004E29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1E2iyoJnQwaxO5cNbGOBTYKQQ==">AMUW2mUYoSesPsFoVWXDZAEr9H2s8RVON+loe/sClAZWRYBIZOLO1TG7/OtOXeKa4CCj0Yu6ClCotISwapKkLkJsaArmjGj0bqDednwCfm9sva1sTUNEMbAXIqT3Cnl+8cMyp5U0xPn9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2022-02-10T12:39:00Z</dcterms:created>
  <dcterms:modified xsi:type="dcterms:W3CDTF">2022-02-10T12:39:00Z</dcterms:modified>
</cp:coreProperties>
</file>